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B16" w:rsidRPr="004F5FE0" w:rsidRDefault="00844B16" w:rsidP="00844B16">
      <w:pPr>
        <w:spacing w:line="360" w:lineRule="auto"/>
        <w:jc w:val="center"/>
        <w:rPr>
          <w:rFonts w:ascii="Century Gothic" w:hAnsi="Century Gothic"/>
          <w:b/>
          <w:color w:val="000000" w:themeColor="text1"/>
          <w:sz w:val="24"/>
          <w:szCs w:val="24"/>
          <w:u w:val="single"/>
        </w:rPr>
      </w:pPr>
      <w:r w:rsidRPr="004F5FE0">
        <w:rPr>
          <w:rFonts w:ascii="Century Gothic" w:hAnsi="Century Gothic"/>
          <w:b/>
          <w:color w:val="000000" w:themeColor="text1"/>
          <w:sz w:val="24"/>
          <w:szCs w:val="24"/>
          <w:u w:val="single"/>
        </w:rPr>
        <w:t>NOTA TÉCNICA JURÍDICA PREVIDENCIÁRIA Nº 0</w:t>
      </w:r>
      <w:r w:rsidRPr="004F5FE0">
        <w:rPr>
          <w:rFonts w:ascii="Century Gothic" w:hAnsi="Century Gothic"/>
          <w:b/>
          <w:color w:val="000000" w:themeColor="text1"/>
          <w:sz w:val="24"/>
          <w:szCs w:val="24"/>
          <w:u w:val="single"/>
        </w:rPr>
        <w:t>3</w:t>
      </w:r>
      <w:r w:rsidRPr="004F5FE0">
        <w:rPr>
          <w:rFonts w:ascii="Century Gothic" w:hAnsi="Century Gothic"/>
          <w:b/>
          <w:color w:val="000000" w:themeColor="text1"/>
          <w:sz w:val="24"/>
          <w:szCs w:val="24"/>
          <w:u w:val="single"/>
        </w:rPr>
        <w:t>/2019</w:t>
      </w:r>
    </w:p>
    <w:p w:rsidR="00844B16" w:rsidRPr="004F5FE0" w:rsidRDefault="00844B16" w:rsidP="00844B16">
      <w:pPr>
        <w:spacing w:line="360" w:lineRule="auto"/>
        <w:ind w:left="3540"/>
        <w:jc w:val="both"/>
        <w:rPr>
          <w:rFonts w:ascii="Century Gothic" w:hAnsi="Century Gothic"/>
          <w:color w:val="000000" w:themeColor="text1"/>
          <w:sz w:val="24"/>
          <w:szCs w:val="24"/>
        </w:rPr>
      </w:pPr>
    </w:p>
    <w:p w:rsidR="00844B16" w:rsidRPr="004F5FE0" w:rsidRDefault="00844B16" w:rsidP="00844B16">
      <w:pPr>
        <w:spacing w:line="360" w:lineRule="auto"/>
        <w:jc w:val="both"/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</w:pPr>
      <w:r w:rsidRPr="004F5FE0">
        <w:rPr>
          <w:rFonts w:ascii="Century Gothic" w:hAnsi="Century Gothic"/>
          <w:b/>
          <w:color w:val="000000" w:themeColor="text1"/>
          <w:sz w:val="24"/>
          <w:szCs w:val="24"/>
        </w:rPr>
        <w:t xml:space="preserve">Assunto: 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Justificativa </w:t>
      </w:r>
      <w:r w:rsidR="009701EC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para que </w:t>
      </w:r>
      <w:r w:rsidR="00A060C5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certas </w:t>
      </w:r>
      <w:r w:rsidR="009701EC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p</w:t>
      </w:r>
      <w:bookmarkStart w:id="0" w:name="_GoBack"/>
      <w:bookmarkEnd w:id="0"/>
      <w:r w:rsidR="00A060C5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ortarias concessivas de aposentadoria </w:t>
      </w:r>
      <w:r w:rsid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expedidas </w:t>
      </w:r>
      <w:r w:rsidR="00A060C5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por este RPPS </w:t>
      </w:r>
      <w:r w:rsid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Municipal </w:t>
      </w:r>
      <w:r w:rsidR="009701EC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retroagissem</w:t>
      </w:r>
      <w:r w:rsidR="00A060C5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 seus efeitos à data do requerimento</w:t>
      </w:r>
      <w:r w:rsid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 administrativo</w:t>
      </w:r>
      <w:r w:rsidR="00A060C5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, sem que o servidor tivesse afastado preliminarmente de suas atividades durante a tramitação do respectivo processo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844B16" w:rsidRPr="004F5FE0" w:rsidRDefault="00844B16" w:rsidP="00844B16">
      <w:pPr>
        <w:shd w:val="clear" w:color="auto" w:fill="FFFFFF"/>
        <w:spacing w:line="360" w:lineRule="auto"/>
        <w:jc w:val="both"/>
        <w:rPr>
          <w:rFonts w:ascii="Century Gothic" w:hAnsi="Century Gothic"/>
          <w:color w:val="000000" w:themeColor="text1"/>
          <w:sz w:val="24"/>
          <w:szCs w:val="24"/>
        </w:rPr>
      </w:pPr>
      <w:r w:rsidRPr="004F5FE0">
        <w:rPr>
          <w:rFonts w:ascii="Century Gothic" w:hAnsi="Century Gothic"/>
          <w:color w:val="000000" w:themeColor="text1"/>
          <w:sz w:val="24"/>
          <w:szCs w:val="24"/>
        </w:rPr>
        <w:t>Diante d</w:t>
      </w:r>
      <w:r w:rsidR="00A060C5" w:rsidRPr="004F5FE0">
        <w:rPr>
          <w:rFonts w:ascii="Century Gothic" w:hAnsi="Century Gothic"/>
          <w:color w:val="000000" w:themeColor="text1"/>
          <w:sz w:val="24"/>
          <w:szCs w:val="24"/>
        </w:rPr>
        <w:t>a</w:t>
      </w:r>
      <w:r w:rsidRPr="004F5FE0">
        <w:rPr>
          <w:rFonts w:ascii="Century Gothic" w:hAnsi="Century Gothic"/>
          <w:color w:val="000000" w:themeColor="text1"/>
          <w:sz w:val="24"/>
          <w:szCs w:val="24"/>
        </w:rPr>
        <w:t xml:space="preserve">s </w:t>
      </w:r>
      <w:r w:rsidR="00A060C5" w:rsidRPr="004F5FE0">
        <w:rPr>
          <w:rFonts w:ascii="Century Gothic" w:hAnsi="Century Gothic"/>
          <w:color w:val="000000" w:themeColor="text1"/>
          <w:sz w:val="24"/>
          <w:szCs w:val="24"/>
        </w:rPr>
        <w:t>sucessivas</w:t>
      </w:r>
      <w:r w:rsidRPr="004F5FE0">
        <w:rPr>
          <w:rFonts w:ascii="Century Gothic" w:hAnsi="Century Gothic"/>
          <w:color w:val="000000" w:themeColor="text1"/>
          <w:sz w:val="24"/>
          <w:szCs w:val="24"/>
        </w:rPr>
        <w:t xml:space="preserve"> </w:t>
      </w:r>
      <w:r w:rsidR="00A060C5" w:rsidRPr="004F5FE0">
        <w:rPr>
          <w:rFonts w:ascii="Century Gothic" w:hAnsi="Century Gothic"/>
          <w:color w:val="000000" w:themeColor="text1"/>
          <w:sz w:val="24"/>
          <w:szCs w:val="24"/>
        </w:rPr>
        <w:t xml:space="preserve">diligências baixadas pelo Tribunal de Contas do Estado de Minas Gerais e </w:t>
      </w:r>
      <w:r w:rsidRPr="004F5FE0">
        <w:rPr>
          <w:rFonts w:ascii="Century Gothic" w:hAnsi="Century Gothic"/>
          <w:color w:val="000000" w:themeColor="text1"/>
          <w:sz w:val="24"/>
          <w:szCs w:val="24"/>
        </w:rPr>
        <w:t>trazidos a essa Procuradoria Autárquica</w:t>
      </w:r>
      <w:r w:rsidR="00A060C5" w:rsidRPr="004F5FE0">
        <w:rPr>
          <w:rFonts w:ascii="Century Gothic" w:hAnsi="Century Gothic"/>
          <w:color w:val="000000" w:themeColor="text1"/>
          <w:sz w:val="24"/>
          <w:szCs w:val="24"/>
        </w:rPr>
        <w:t xml:space="preserve">, questionando o motivo </w:t>
      </w:r>
      <w:r w:rsidR="004F5FE0">
        <w:rPr>
          <w:rFonts w:ascii="Century Gothic" w:hAnsi="Century Gothic"/>
          <w:color w:val="000000" w:themeColor="text1"/>
          <w:sz w:val="24"/>
          <w:szCs w:val="24"/>
        </w:rPr>
        <w:t>porque</w:t>
      </w:r>
      <w:r w:rsidR="00A060C5" w:rsidRPr="004F5FE0">
        <w:rPr>
          <w:rFonts w:ascii="Century Gothic" w:hAnsi="Century Gothic"/>
          <w:color w:val="000000" w:themeColor="text1"/>
          <w:sz w:val="24"/>
          <w:szCs w:val="24"/>
        </w:rPr>
        <w:t xml:space="preserve"> certas Portarias concessivas de aposentadoria </w:t>
      </w:r>
      <w:r w:rsidR="004F5FE0">
        <w:rPr>
          <w:rFonts w:ascii="Century Gothic" w:hAnsi="Century Gothic"/>
          <w:color w:val="000000" w:themeColor="text1"/>
          <w:sz w:val="24"/>
          <w:szCs w:val="24"/>
        </w:rPr>
        <w:t xml:space="preserve">expedidas </w:t>
      </w:r>
      <w:r w:rsidR="00A060C5" w:rsidRPr="004F5FE0">
        <w:rPr>
          <w:rFonts w:ascii="Century Gothic" w:hAnsi="Century Gothic"/>
          <w:color w:val="000000" w:themeColor="text1"/>
          <w:sz w:val="24"/>
          <w:szCs w:val="24"/>
        </w:rPr>
        <w:t xml:space="preserve">por este RPPS </w:t>
      </w:r>
      <w:r w:rsidR="004F5FE0">
        <w:rPr>
          <w:rFonts w:ascii="Century Gothic" w:hAnsi="Century Gothic"/>
          <w:color w:val="000000" w:themeColor="text1"/>
          <w:sz w:val="24"/>
          <w:szCs w:val="24"/>
        </w:rPr>
        <w:t xml:space="preserve">Municipal </w:t>
      </w:r>
      <w:r w:rsidR="00A060C5" w:rsidRPr="004F5FE0">
        <w:rPr>
          <w:rFonts w:ascii="Century Gothic" w:hAnsi="Century Gothic"/>
          <w:color w:val="000000" w:themeColor="text1"/>
          <w:sz w:val="24"/>
          <w:szCs w:val="24"/>
        </w:rPr>
        <w:t>ter</w:t>
      </w:r>
      <w:r w:rsidR="009701EC">
        <w:rPr>
          <w:rFonts w:ascii="Century Gothic" w:hAnsi="Century Gothic"/>
          <w:color w:val="000000" w:themeColor="text1"/>
          <w:sz w:val="24"/>
          <w:szCs w:val="24"/>
        </w:rPr>
        <w:t>ia</w:t>
      </w:r>
      <w:r w:rsidR="00A060C5" w:rsidRPr="004F5FE0">
        <w:rPr>
          <w:rFonts w:ascii="Century Gothic" w:hAnsi="Century Gothic"/>
          <w:color w:val="000000" w:themeColor="text1"/>
          <w:sz w:val="24"/>
          <w:szCs w:val="24"/>
        </w:rPr>
        <w:t>m retroagido seus efeitos à data do requerimento</w:t>
      </w:r>
      <w:r w:rsidR="004F5FE0">
        <w:rPr>
          <w:rFonts w:ascii="Century Gothic" w:hAnsi="Century Gothic"/>
          <w:color w:val="000000" w:themeColor="text1"/>
          <w:sz w:val="24"/>
          <w:szCs w:val="24"/>
        </w:rPr>
        <w:t xml:space="preserve"> administrativo</w:t>
      </w:r>
      <w:r w:rsidR="00A060C5" w:rsidRPr="004F5FE0">
        <w:rPr>
          <w:rFonts w:ascii="Century Gothic" w:hAnsi="Century Gothic"/>
          <w:color w:val="000000" w:themeColor="text1"/>
          <w:sz w:val="24"/>
          <w:szCs w:val="24"/>
        </w:rPr>
        <w:t>, mesmo não tendo o servidor sido afastado preliminarmente de suas atividades durante a tramitação do respectivo processo de aposentadoria</w:t>
      </w:r>
      <w:r w:rsidRPr="004F5FE0">
        <w:rPr>
          <w:rFonts w:ascii="Century Gothic" w:hAnsi="Century Gothic"/>
          <w:color w:val="000000" w:themeColor="text1"/>
          <w:sz w:val="24"/>
          <w:szCs w:val="24"/>
        </w:rPr>
        <w:t xml:space="preserve">, decidimos emitir a presente Nota Técnica Jurídica, de modo a uniformizar </w:t>
      </w:r>
      <w:r w:rsidR="00A060C5" w:rsidRPr="004F5FE0">
        <w:rPr>
          <w:rFonts w:ascii="Century Gothic" w:hAnsi="Century Gothic"/>
          <w:color w:val="000000" w:themeColor="text1"/>
          <w:sz w:val="24"/>
          <w:szCs w:val="24"/>
        </w:rPr>
        <w:t>as respostas a serem fornecidas à Corte de Contas</w:t>
      </w:r>
      <w:r w:rsidRPr="004F5FE0">
        <w:rPr>
          <w:rFonts w:ascii="Century Gothic" w:hAnsi="Century Gothic"/>
          <w:color w:val="000000" w:themeColor="text1"/>
          <w:sz w:val="24"/>
          <w:szCs w:val="24"/>
        </w:rPr>
        <w:t>.</w:t>
      </w:r>
    </w:p>
    <w:p w:rsidR="00A060C5" w:rsidRPr="004F5FE0" w:rsidRDefault="00A060C5" w:rsidP="00A060C5">
      <w:pPr>
        <w:spacing w:line="360" w:lineRule="auto"/>
        <w:jc w:val="both"/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</w:pP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C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om advento da Emenda 36/2017 à Lei Orgânica do Município de Betim, nova redação </w:t>
      </w:r>
      <w:r w:rsid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fora introduzida 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ao seu artigo 61, § 7º, </w:t>
      </w:r>
      <w:r w:rsid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abolindo-se 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o afastamento preliminar </w:t>
      </w:r>
      <w:r w:rsid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do servidor 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durante o processo de aposenta</w:t>
      </w:r>
      <w:r w:rsid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ria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A060C5" w:rsidRPr="004F5FE0" w:rsidRDefault="00A060C5" w:rsidP="004F5FE0">
      <w:pPr>
        <w:spacing w:line="360" w:lineRule="auto"/>
        <w:jc w:val="both"/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</w:pP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Assim, a partir da vigência dessa nova redação, todos os servidores que, preenchidos os requisitos legais e constitucionais para aposentadoria e que protocolassem pedidos de aposentadoria junto ao IPREMB, com exceção dos casos de aposentadoria por invalidez, deverão permanecer em atividade até a conclusão do processo de aposentadoria.</w:t>
      </w:r>
    </w:p>
    <w:p w:rsidR="00A060C5" w:rsidRPr="004F5FE0" w:rsidRDefault="00A060C5" w:rsidP="004F5FE0">
      <w:pPr>
        <w:spacing w:line="360" w:lineRule="auto"/>
        <w:jc w:val="both"/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</w:pP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Não é demais ainda ressaltar que, de acordo com a primeira parte do artigo 76 Lei Municipal 4275/2005, a aposentadoria vigorará a partir da publicação do ato formal de concessão, isto é, da Portaria Concessiva.</w:t>
      </w:r>
    </w:p>
    <w:p w:rsidR="00A060C5" w:rsidRPr="004F5FE0" w:rsidRDefault="00A060C5" w:rsidP="004F5FE0">
      <w:pPr>
        <w:spacing w:line="360" w:lineRule="auto"/>
        <w:jc w:val="both"/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</w:pP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Como se </w:t>
      </w:r>
      <w:r w:rsidR="004F5FE0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pode ver dos respectivos </w:t>
      </w:r>
      <w:r w:rsid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processos</w:t>
      </w:r>
      <w:r w:rsidR="004F5FE0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 de aposentadoria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, embora conste da parte inicial da Portaria concessiva que o ato seria concedido a partir </w:t>
      </w:r>
      <w:r w:rsidR="004F5FE0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da data do requerimento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, na sua parte final e, em consonância com o que dispõe o art. 76 da Lei Municipal 4275/2005, expressamente consta que a mesma vigoraria a partir da data da sua publicação.</w:t>
      </w:r>
    </w:p>
    <w:p w:rsidR="00A060C5" w:rsidRPr="004F5FE0" w:rsidRDefault="00A060C5" w:rsidP="004F5FE0">
      <w:pPr>
        <w:spacing w:line="360" w:lineRule="auto"/>
        <w:jc w:val="both"/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</w:pP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Nenhum benefício fora pago retroativo à data </w:t>
      </w:r>
      <w:r w:rsidR="004F5FE0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do requerimento administrativo e sim a partir da data da publicação da respectiva Portaria Concessiva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A060C5" w:rsidRPr="004F5FE0" w:rsidRDefault="004F5FE0" w:rsidP="004F5FE0">
      <w:pPr>
        <w:spacing w:after="0" w:line="360" w:lineRule="auto"/>
        <w:jc w:val="both"/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</w:pP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Podemos afirmar que tratou de mero</w:t>
      </w:r>
      <w:r w:rsidR="00A060C5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 erro 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material, praticado no momento d</w:t>
      </w:r>
      <w:r w:rsidR="00A060C5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a digitação 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e</w:t>
      </w:r>
      <w:r w:rsidR="00A060C5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 lançamento do FISCAP, eis que, para efeitos práticos, o benefício fora concedido e pago somente a partir do primeiro dia útil do mês subsequente, 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da sua concessão</w:t>
      </w:r>
      <w:r w:rsidR="00A060C5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4F5FE0" w:rsidRPr="004F5FE0" w:rsidRDefault="004F5FE0" w:rsidP="004F5FE0">
      <w:pPr>
        <w:spacing w:after="0" w:line="360" w:lineRule="auto"/>
        <w:jc w:val="both"/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</w:pPr>
    </w:p>
    <w:p w:rsidR="00A060C5" w:rsidRPr="004F5FE0" w:rsidRDefault="00A060C5" w:rsidP="004F5FE0">
      <w:pPr>
        <w:spacing w:after="0" w:line="360" w:lineRule="auto"/>
        <w:jc w:val="both"/>
        <w:rPr>
          <w:rFonts w:ascii="Century Gothic" w:hAnsi="Century Gothic" w:cs="Times New Roman"/>
          <w:color w:val="000000" w:themeColor="text1"/>
          <w:sz w:val="24"/>
          <w:szCs w:val="24"/>
        </w:rPr>
      </w:pP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Estamos à disposição dessa Corte </w:t>
      </w:r>
      <w:r w:rsid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de Contas </w:t>
      </w:r>
      <w:r w:rsidR="00AF61FD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para cumprir </w:t>
      </w:r>
      <w:proofErr w:type="gramStart"/>
      <w:r w:rsidR="00AF61FD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eventuais </w:t>
      </w:r>
      <w:r w:rsid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diligências 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no sentido de se retificar referido</w:t>
      </w:r>
      <w:r w:rsidR="004F5FE0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s</w:t>
      </w:r>
      <w:proofErr w:type="gramEnd"/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 erro</w:t>
      </w:r>
      <w:r w:rsidR="004F5FE0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s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 xml:space="preserve"> materia</w:t>
      </w:r>
      <w:r w:rsidR="004F5FE0"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is</w:t>
      </w:r>
      <w:r w:rsidRPr="004F5FE0">
        <w:rPr>
          <w:rFonts w:ascii="Century Gothic" w:hAnsi="Century Gothic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AF61FD" w:rsidRDefault="00AF61FD" w:rsidP="00844B16">
      <w:pPr>
        <w:spacing w:line="360" w:lineRule="auto"/>
        <w:jc w:val="both"/>
        <w:rPr>
          <w:rFonts w:ascii="Century Gothic" w:hAnsi="Century Gothic"/>
          <w:color w:val="000000" w:themeColor="text1"/>
          <w:sz w:val="24"/>
          <w:szCs w:val="24"/>
        </w:rPr>
      </w:pPr>
    </w:p>
    <w:p w:rsidR="00844B16" w:rsidRPr="004F5FE0" w:rsidRDefault="00844B16" w:rsidP="00844B16">
      <w:pPr>
        <w:spacing w:line="360" w:lineRule="auto"/>
        <w:jc w:val="both"/>
        <w:rPr>
          <w:rFonts w:ascii="Century Gothic" w:hAnsi="Century Gothic"/>
          <w:color w:val="000000" w:themeColor="text1"/>
          <w:sz w:val="24"/>
          <w:szCs w:val="24"/>
        </w:rPr>
      </w:pPr>
      <w:r w:rsidRPr="004F5FE0">
        <w:rPr>
          <w:rFonts w:ascii="Century Gothic" w:hAnsi="Century Gothic"/>
          <w:color w:val="000000" w:themeColor="text1"/>
          <w:sz w:val="24"/>
          <w:szCs w:val="24"/>
        </w:rPr>
        <w:t xml:space="preserve">Betim, 21 de </w:t>
      </w:r>
      <w:r w:rsidR="00A060C5" w:rsidRPr="004F5FE0">
        <w:rPr>
          <w:rFonts w:ascii="Century Gothic" w:hAnsi="Century Gothic"/>
          <w:color w:val="000000" w:themeColor="text1"/>
          <w:sz w:val="24"/>
          <w:szCs w:val="24"/>
        </w:rPr>
        <w:t>novem</w:t>
      </w:r>
      <w:r w:rsidRPr="004F5FE0">
        <w:rPr>
          <w:rFonts w:ascii="Century Gothic" w:hAnsi="Century Gothic"/>
          <w:color w:val="000000" w:themeColor="text1"/>
          <w:sz w:val="24"/>
          <w:szCs w:val="24"/>
        </w:rPr>
        <w:t>bro de 2019.</w:t>
      </w:r>
    </w:p>
    <w:p w:rsidR="00844B16" w:rsidRPr="00AF61FD" w:rsidRDefault="00844B16" w:rsidP="004F5FE0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</w:rPr>
      </w:pPr>
      <w:r w:rsidRPr="00AF61FD">
        <w:rPr>
          <w:rFonts w:ascii="Century Gothic" w:hAnsi="Century Gothic"/>
          <w:b/>
          <w:color w:val="000000" w:themeColor="text1"/>
        </w:rPr>
        <w:t>José Geraldo Fernandes Martins</w:t>
      </w:r>
    </w:p>
    <w:p w:rsidR="00844B16" w:rsidRPr="00AF61FD" w:rsidRDefault="00844B16" w:rsidP="004F5FE0">
      <w:pPr>
        <w:spacing w:after="0" w:line="240" w:lineRule="auto"/>
        <w:jc w:val="center"/>
        <w:rPr>
          <w:rFonts w:ascii="Century Gothic" w:hAnsi="Century Gothic"/>
          <w:color w:val="000000" w:themeColor="text1"/>
        </w:rPr>
      </w:pPr>
      <w:r w:rsidRPr="00AF61FD">
        <w:rPr>
          <w:rFonts w:ascii="Century Gothic" w:hAnsi="Century Gothic"/>
          <w:color w:val="000000" w:themeColor="text1"/>
        </w:rPr>
        <w:t xml:space="preserve">Advogado Autárquico </w:t>
      </w:r>
    </w:p>
    <w:p w:rsidR="00844B16" w:rsidRPr="004F5FE0" w:rsidRDefault="00844B16" w:rsidP="00844B16">
      <w:pPr>
        <w:jc w:val="center"/>
        <w:rPr>
          <w:rFonts w:ascii="Century Gothic" w:hAnsi="Century Gothic"/>
          <w:b/>
          <w:color w:val="000000" w:themeColor="text1"/>
          <w:sz w:val="24"/>
          <w:szCs w:val="24"/>
        </w:rPr>
      </w:pPr>
    </w:p>
    <w:p w:rsidR="00844B16" w:rsidRPr="004F5FE0" w:rsidRDefault="00844B16" w:rsidP="00844B16">
      <w:pPr>
        <w:jc w:val="both"/>
        <w:rPr>
          <w:rFonts w:ascii="Century Gothic" w:hAnsi="Century Gothic"/>
          <w:sz w:val="24"/>
          <w:szCs w:val="24"/>
        </w:rPr>
      </w:pPr>
      <w:r w:rsidRPr="004F5FE0">
        <w:rPr>
          <w:rFonts w:ascii="Century Gothic" w:hAnsi="Century Gothic"/>
          <w:sz w:val="24"/>
          <w:szCs w:val="24"/>
        </w:rPr>
        <w:t>Ciente e de acordo com a Nota Técnica nº 0</w:t>
      </w:r>
      <w:r w:rsidR="004F5FE0">
        <w:rPr>
          <w:rFonts w:ascii="Century Gothic" w:hAnsi="Century Gothic"/>
          <w:sz w:val="24"/>
          <w:szCs w:val="24"/>
        </w:rPr>
        <w:t>3</w:t>
      </w:r>
      <w:r w:rsidRPr="004F5FE0">
        <w:rPr>
          <w:rFonts w:ascii="Century Gothic" w:hAnsi="Century Gothic"/>
          <w:sz w:val="24"/>
          <w:szCs w:val="24"/>
        </w:rPr>
        <w:t xml:space="preserve">/2019. </w:t>
      </w:r>
    </w:p>
    <w:p w:rsidR="00844B16" w:rsidRPr="00AF61FD" w:rsidRDefault="00844B16" w:rsidP="004F5FE0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</w:rPr>
      </w:pPr>
      <w:r w:rsidRPr="00AF61FD">
        <w:rPr>
          <w:rFonts w:ascii="Century Gothic" w:hAnsi="Century Gothic"/>
          <w:b/>
          <w:color w:val="000000" w:themeColor="text1"/>
        </w:rPr>
        <w:t>Rejane Souza Ribeiro</w:t>
      </w:r>
    </w:p>
    <w:p w:rsidR="00844B16" w:rsidRPr="00AF61FD" w:rsidRDefault="00844B16" w:rsidP="004F5FE0">
      <w:pPr>
        <w:spacing w:after="0" w:line="240" w:lineRule="auto"/>
        <w:jc w:val="center"/>
        <w:rPr>
          <w:rFonts w:ascii="Century Gothic" w:hAnsi="Century Gothic"/>
          <w:color w:val="000000" w:themeColor="text1"/>
        </w:rPr>
      </w:pPr>
      <w:r w:rsidRPr="00AF61FD">
        <w:rPr>
          <w:rFonts w:ascii="Century Gothic" w:hAnsi="Century Gothic"/>
          <w:color w:val="000000" w:themeColor="text1"/>
        </w:rPr>
        <w:t>Assessora Jurídica</w:t>
      </w:r>
    </w:p>
    <w:p w:rsidR="00844B16" w:rsidRPr="004F5FE0" w:rsidRDefault="00844B16" w:rsidP="00844B16">
      <w:pPr>
        <w:rPr>
          <w:rFonts w:ascii="Century Gothic" w:hAnsi="Century Gothic"/>
          <w:sz w:val="24"/>
          <w:szCs w:val="24"/>
        </w:rPr>
      </w:pPr>
    </w:p>
    <w:p w:rsidR="00844B16" w:rsidRPr="004F5FE0" w:rsidRDefault="00844B16" w:rsidP="00844B16">
      <w:pPr>
        <w:jc w:val="both"/>
        <w:rPr>
          <w:rFonts w:ascii="Century Gothic" w:hAnsi="Century Gothic"/>
          <w:sz w:val="24"/>
          <w:szCs w:val="24"/>
        </w:rPr>
      </w:pPr>
      <w:r w:rsidRPr="004F5FE0">
        <w:rPr>
          <w:rFonts w:ascii="Century Gothic" w:hAnsi="Century Gothic"/>
          <w:sz w:val="24"/>
          <w:szCs w:val="24"/>
        </w:rPr>
        <w:t>Aprovo a Nota Técnica Jurídica Previdenciária de nº 0</w:t>
      </w:r>
      <w:r w:rsidR="004F5FE0">
        <w:rPr>
          <w:rFonts w:ascii="Century Gothic" w:hAnsi="Century Gothic"/>
          <w:sz w:val="24"/>
          <w:szCs w:val="24"/>
        </w:rPr>
        <w:t>3</w:t>
      </w:r>
      <w:r w:rsidRPr="004F5FE0">
        <w:rPr>
          <w:rFonts w:ascii="Century Gothic" w:hAnsi="Century Gothic"/>
          <w:sz w:val="24"/>
          <w:szCs w:val="24"/>
        </w:rPr>
        <w:t xml:space="preserve">/2019, pelos seus próprios fundamentos. </w:t>
      </w:r>
    </w:p>
    <w:p w:rsidR="00844B16" w:rsidRPr="004F5FE0" w:rsidRDefault="00844B16" w:rsidP="00844B16">
      <w:pPr>
        <w:jc w:val="both"/>
        <w:rPr>
          <w:rFonts w:ascii="Century Gothic" w:hAnsi="Century Gothic"/>
          <w:sz w:val="24"/>
          <w:szCs w:val="24"/>
        </w:rPr>
      </w:pPr>
      <w:r w:rsidRPr="004F5FE0">
        <w:rPr>
          <w:rFonts w:ascii="Century Gothic" w:hAnsi="Century Gothic"/>
          <w:sz w:val="24"/>
          <w:szCs w:val="24"/>
        </w:rPr>
        <w:t>Publique-se e aplique-se.</w:t>
      </w:r>
    </w:p>
    <w:p w:rsidR="00844B16" w:rsidRPr="00AF61FD" w:rsidRDefault="00844B16" w:rsidP="00844B16">
      <w:pPr>
        <w:pStyle w:val="NormalWeb"/>
        <w:shd w:val="clear" w:color="auto" w:fill="FFFFFF"/>
        <w:spacing w:line="360" w:lineRule="auto"/>
        <w:contextualSpacing/>
        <w:jc w:val="center"/>
        <w:rPr>
          <w:rFonts w:ascii="Century Gothic" w:hAnsi="Century Gothic" w:cs="Tahoma"/>
          <w:b/>
          <w:color w:val="000000" w:themeColor="text1"/>
          <w:spacing w:val="5"/>
          <w:sz w:val="22"/>
          <w:szCs w:val="22"/>
        </w:rPr>
      </w:pPr>
      <w:r w:rsidRPr="00AF61FD">
        <w:rPr>
          <w:rFonts w:ascii="Century Gothic" w:hAnsi="Century Gothic" w:cs="Tahoma"/>
          <w:b/>
          <w:color w:val="000000" w:themeColor="text1"/>
          <w:spacing w:val="5"/>
          <w:sz w:val="22"/>
          <w:szCs w:val="22"/>
        </w:rPr>
        <w:t>BRUNO FERREIRA CYPRIANO</w:t>
      </w:r>
    </w:p>
    <w:p w:rsidR="00CA1620" w:rsidRPr="00AF61FD" w:rsidRDefault="00844B16" w:rsidP="00AF61FD">
      <w:pPr>
        <w:pStyle w:val="NormalWeb"/>
        <w:shd w:val="clear" w:color="auto" w:fill="FFFFFF"/>
        <w:spacing w:line="360" w:lineRule="auto"/>
        <w:contextualSpacing/>
        <w:jc w:val="center"/>
        <w:rPr>
          <w:sz w:val="22"/>
          <w:szCs w:val="22"/>
        </w:rPr>
      </w:pPr>
      <w:r w:rsidRPr="00AF61FD">
        <w:rPr>
          <w:rFonts w:ascii="Century Gothic" w:hAnsi="Century Gothic" w:cs="Tahoma"/>
          <w:b/>
          <w:color w:val="000000" w:themeColor="text1"/>
          <w:spacing w:val="5"/>
          <w:sz w:val="22"/>
          <w:szCs w:val="22"/>
        </w:rPr>
        <w:t>Presidente Interino do IPREMB</w:t>
      </w:r>
    </w:p>
    <w:sectPr w:rsidR="00CA1620" w:rsidRPr="00AF61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B16"/>
    <w:rsid w:val="004F5FE0"/>
    <w:rsid w:val="005C43EA"/>
    <w:rsid w:val="00704E93"/>
    <w:rsid w:val="00844B16"/>
    <w:rsid w:val="009701EC"/>
    <w:rsid w:val="00A060C5"/>
    <w:rsid w:val="00A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B16"/>
  </w:style>
  <w:style w:type="paragraph" w:styleId="Ttulo2">
    <w:name w:val="heading 2"/>
    <w:basedOn w:val="Normal"/>
    <w:link w:val="Ttulo2Char"/>
    <w:uiPriority w:val="9"/>
    <w:qFormat/>
    <w:rsid w:val="00844B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44B1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unhideWhenUsed/>
    <w:rsid w:val="0084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44B16"/>
    <w:rPr>
      <w:b/>
      <w:bCs/>
    </w:rPr>
  </w:style>
  <w:style w:type="character" w:styleId="nfase">
    <w:name w:val="Emphasis"/>
    <w:basedOn w:val="Fontepargpadro"/>
    <w:uiPriority w:val="20"/>
    <w:qFormat/>
    <w:rsid w:val="00844B16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844B16"/>
    <w:rPr>
      <w:color w:val="0000FF"/>
      <w:u w:val="single"/>
    </w:rPr>
  </w:style>
  <w:style w:type="paragraph" w:customStyle="1" w:styleId="info">
    <w:name w:val="info"/>
    <w:basedOn w:val="Normal"/>
    <w:rsid w:val="0084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nippet">
    <w:name w:val="snippet"/>
    <w:basedOn w:val="Normal"/>
    <w:rsid w:val="0084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itaoTJ">
    <w:name w:val="CitaçãoTJ"/>
    <w:basedOn w:val="Normal"/>
    <w:link w:val="CitaoTJChar"/>
    <w:qFormat/>
    <w:rsid w:val="00844B16"/>
    <w:pPr>
      <w:autoSpaceDE w:val="0"/>
      <w:autoSpaceDN w:val="0"/>
      <w:adjustRightInd w:val="0"/>
      <w:spacing w:after="0" w:line="240" w:lineRule="auto"/>
      <w:ind w:left="2268"/>
      <w:jc w:val="both"/>
    </w:pPr>
    <w:rPr>
      <w:rFonts w:ascii="Arial" w:eastAsia="Times New Roman" w:hAnsi="Arial" w:cs="Times New Roman"/>
      <w:iCs/>
      <w:color w:val="000000"/>
      <w:szCs w:val="24"/>
      <w:lang w:eastAsia="pt-BR"/>
    </w:rPr>
  </w:style>
  <w:style w:type="paragraph" w:customStyle="1" w:styleId="NormalTJ">
    <w:name w:val="Normal TJ"/>
    <w:basedOn w:val="Normal"/>
    <w:qFormat/>
    <w:rsid w:val="00844B16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Arial" w:eastAsia="Times New Roman" w:hAnsi="Arial" w:cs="Times New Roman"/>
      <w:sz w:val="24"/>
      <w:lang w:eastAsia="pt-BR"/>
    </w:rPr>
  </w:style>
  <w:style w:type="character" w:customStyle="1" w:styleId="CitaoTJChar">
    <w:name w:val="CitaçãoTJ Char"/>
    <w:link w:val="CitaoTJ"/>
    <w:locked/>
    <w:rsid w:val="00844B16"/>
    <w:rPr>
      <w:rFonts w:ascii="Arial" w:eastAsia="Times New Roman" w:hAnsi="Arial" w:cs="Times New Roman"/>
      <w:iCs/>
      <w:color w:val="000000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B16"/>
  </w:style>
  <w:style w:type="paragraph" w:styleId="Ttulo2">
    <w:name w:val="heading 2"/>
    <w:basedOn w:val="Normal"/>
    <w:link w:val="Ttulo2Char"/>
    <w:uiPriority w:val="9"/>
    <w:qFormat/>
    <w:rsid w:val="00844B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44B1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unhideWhenUsed/>
    <w:rsid w:val="0084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44B16"/>
    <w:rPr>
      <w:b/>
      <w:bCs/>
    </w:rPr>
  </w:style>
  <w:style w:type="character" w:styleId="nfase">
    <w:name w:val="Emphasis"/>
    <w:basedOn w:val="Fontepargpadro"/>
    <w:uiPriority w:val="20"/>
    <w:qFormat/>
    <w:rsid w:val="00844B16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844B16"/>
    <w:rPr>
      <w:color w:val="0000FF"/>
      <w:u w:val="single"/>
    </w:rPr>
  </w:style>
  <w:style w:type="paragraph" w:customStyle="1" w:styleId="info">
    <w:name w:val="info"/>
    <w:basedOn w:val="Normal"/>
    <w:rsid w:val="0084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nippet">
    <w:name w:val="snippet"/>
    <w:basedOn w:val="Normal"/>
    <w:rsid w:val="0084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itaoTJ">
    <w:name w:val="CitaçãoTJ"/>
    <w:basedOn w:val="Normal"/>
    <w:link w:val="CitaoTJChar"/>
    <w:qFormat/>
    <w:rsid w:val="00844B16"/>
    <w:pPr>
      <w:autoSpaceDE w:val="0"/>
      <w:autoSpaceDN w:val="0"/>
      <w:adjustRightInd w:val="0"/>
      <w:spacing w:after="0" w:line="240" w:lineRule="auto"/>
      <w:ind w:left="2268"/>
      <w:jc w:val="both"/>
    </w:pPr>
    <w:rPr>
      <w:rFonts w:ascii="Arial" w:eastAsia="Times New Roman" w:hAnsi="Arial" w:cs="Times New Roman"/>
      <w:iCs/>
      <w:color w:val="000000"/>
      <w:szCs w:val="24"/>
      <w:lang w:eastAsia="pt-BR"/>
    </w:rPr>
  </w:style>
  <w:style w:type="paragraph" w:customStyle="1" w:styleId="NormalTJ">
    <w:name w:val="Normal TJ"/>
    <w:basedOn w:val="Normal"/>
    <w:qFormat/>
    <w:rsid w:val="00844B16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Arial" w:eastAsia="Times New Roman" w:hAnsi="Arial" w:cs="Times New Roman"/>
      <w:sz w:val="24"/>
      <w:lang w:eastAsia="pt-BR"/>
    </w:rPr>
  </w:style>
  <w:style w:type="character" w:customStyle="1" w:styleId="CitaoTJChar">
    <w:name w:val="CitaçãoTJ Char"/>
    <w:link w:val="CitaoTJ"/>
    <w:locked/>
    <w:rsid w:val="00844B16"/>
    <w:rPr>
      <w:rFonts w:ascii="Arial" w:eastAsia="Times New Roman" w:hAnsi="Arial" w:cs="Times New Roman"/>
      <w:iCs/>
      <w:color w:val="00000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875C4-1C32-499E-B27E-081696559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453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Geraldo Feranades Martins</dc:creator>
  <cp:lastModifiedBy>Jose Geraldo Feranades Martins</cp:lastModifiedBy>
  <cp:revision>2</cp:revision>
  <cp:lastPrinted>2019-11-20T17:19:00Z</cp:lastPrinted>
  <dcterms:created xsi:type="dcterms:W3CDTF">2019-11-20T16:44:00Z</dcterms:created>
  <dcterms:modified xsi:type="dcterms:W3CDTF">2019-11-20T17:21:00Z</dcterms:modified>
</cp:coreProperties>
</file>